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5D4" w:rsidRDefault="000C05D4">
      <w:pPr>
        <w:widowControl w:val="0"/>
        <w:pBdr>
          <w:top w:val="nil"/>
          <w:left w:val="nil"/>
          <w:bottom w:val="nil"/>
          <w:right w:val="nil"/>
          <w:between w:val="nil"/>
        </w:pBdr>
        <w:spacing w:after="0" w:line="276" w:lineRule="auto"/>
        <w:ind w:hanging="2"/>
        <w:jc w:val="left"/>
        <w:rPr>
          <w:rFonts w:ascii="Arial" w:eastAsia="Arial" w:hAnsi="Arial" w:cs="Arial"/>
        </w:rPr>
      </w:pPr>
    </w:p>
    <w:p w:rsidR="000C05D4" w:rsidRDefault="00B236BD">
      <w:pPr>
        <w:spacing w:before="240" w:after="0" w:line="276" w:lineRule="auto"/>
        <w:ind w:left="2" w:hanging="4"/>
        <w:rPr>
          <w:rFonts w:ascii="Arial" w:eastAsia="Arial" w:hAnsi="Arial" w:cs="Arial"/>
          <w:b/>
          <w:sz w:val="36"/>
          <w:szCs w:val="36"/>
        </w:rPr>
      </w:pPr>
      <w:r>
        <w:rPr>
          <w:rFonts w:ascii="Arial" w:eastAsia="Arial" w:hAnsi="Arial" w:cs="Arial"/>
          <w:b/>
          <w:sz w:val="36"/>
          <w:szCs w:val="36"/>
        </w:rPr>
        <w:t>Call-Off Schedule 5 (Pricing Details)</w:t>
      </w:r>
    </w:p>
    <w:p w:rsidR="000C05D4" w:rsidRDefault="000C05D4">
      <w:pPr>
        <w:rPr>
          <w:rFonts w:ascii="Roboto" w:eastAsia="Roboto" w:hAnsi="Roboto" w:cs="Roboto"/>
        </w:rPr>
      </w:pPr>
    </w:p>
    <w:p w:rsidR="000C05D4" w:rsidRDefault="00B236BD">
      <w:pPr>
        <w:spacing w:before="240" w:after="0" w:line="276" w:lineRule="auto"/>
        <w:ind w:left="2" w:hanging="4"/>
        <w:rPr>
          <w:rFonts w:ascii="Arial" w:eastAsia="Arial" w:hAnsi="Arial" w:cs="Arial"/>
          <w:b/>
          <w:sz w:val="36"/>
          <w:szCs w:val="36"/>
        </w:rPr>
      </w:pPr>
      <w:r>
        <w:rPr>
          <w:rFonts w:ascii="Arial" w:eastAsia="Arial" w:hAnsi="Arial" w:cs="Arial"/>
          <w:b/>
          <w:sz w:val="36"/>
          <w:szCs w:val="36"/>
        </w:rPr>
        <w:t>Part A – Fixed Fee Pricing</w:t>
      </w:r>
    </w:p>
    <w:p w:rsidR="000C05D4" w:rsidRDefault="000C05D4">
      <w:pPr>
        <w:pBdr>
          <w:top w:val="nil"/>
          <w:left w:val="nil"/>
          <w:bottom w:val="nil"/>
          <w:right w:val="nil"/>
          <w:between w:val="nil"/>
        </w:pBdr>
        <w:tabs>
          <w:tab w:val="center" w:pos="4153"/>
          <w:tab w:val="right" w:pos="8306"/>
          <w:tab w:val="center" w:pos="4513"/>
          <w:tab w:val="right" w:pos="9026"/>
        </w:tabs>
        <w:spacing w:after="0" w:line="240" w:lineRule="auto"/>
        <w:ind w:hanging="2"/>
        <w:rPr>
          <w:rFonts w:ascii="Arial" w:eastAsia="Arial" w:hAnsi="Arial" w:cs="Arial"/>
          <w:color w:val="000000"/>
          <w:sz w:val="24"/>
          <w:szCs w:val="24"/>
        </w:rPr>
      </w:pPr>
    </w:p>
    <w:p w:rsidR="000C05D4" w:rsidRDefault="00B236BD">
      <w:pPr>
        <w:keepNext/>
        <w:pBdr>
          <w:top w:val="nil"/>
          <w:left w:val="nil"/>
          <w:bottom w:val="nil"/>
          <w:right w:val="nil"/>
          <w:between w:val="nil"/>
        </w:pBdr>
        <w:spacing w:line="240" w:lineRule="auto"/>
        <w:ind w:hanging="2"/>
        <w:rPr>
          <w:rFonts w:ascii="Arial" w:eastAsia="Arial" w:hAnsi="Arial" w:cs="Arial"/>
          <w:color w:val="000000"/>
          <w:sz w:val="24"/>
          <w:szCs w:val="24"/>
        </w:rPr>
      </w:pPr>
      <w:r>
        <w:rPr>
          <w:rFonts w:ascii="Arial" w:eastAsia="Arial" w:hAnsi="Arial" w:cs="Arial"/>
          <w:color w:val="000000"/>
          <w:sz w:val="24"/>
          <w:szCs w:val="24"/>
        </w:rPr>
        <w:t>This part of this schedule shall apply where the Fixed Fee Pricing option is selected in the Order Form.</w:t>
      </w:r>
    </w:p>
    <w:p w:rsidR="000C05D4" w:rsidRDefault="00B236BD">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rsidR="000C05D4" w:rsidRDefault="00B236BD">
      <w:pPr>
        <w:numPr>
          <w:ilvl w:val="2"/>
          <w:numId w:val="2"/>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 and based on the principles in Framework Schedule 3 Annex 2; </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in respect of Service Months for full and proper performance by the Supplier of its obligations under the Call-Off Contract; and</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w:t>
      </w:r>
      <w:proofErr w:type="spellStart"/>
      <w:r>
        <w:rPr>
          <w:rFonts w:ascii="Arial" w:eastAsia="Arial" w:hAnsi="Arial" w:cs="Arial"/>
          <w:color w:val="000000"/>
          <w:sz w:val="24"/>
          <w:szCs w:val="24"/>
        </w:rPr>
        <w:t>MPn</w:t>
      </w:r>
      <w:proofErr w:type="spellEnd"/>
      <w:r>
        <w:rPr>
          <w:rFonts w:ascii="Arial" w:eastAsia="Arial" w:hAnsi="Arial" w:cs="Arial"/>
          <w:color w:val="000000"/>
          <w:sz w:val="24"/>
          <w:szCs w:val="24"/>
        </w:rPr>
        <w:t>), in respect of a Service Month “n” shall be calculated in accordance with the following formula:</w:t>
      </w:r>
    </w:p>
    <w:p w:rsidR="000C05D4" w:rsidRDefault="00B236BD">
      <w:pPr>
        <w:pBdr>
          <w:top w:val="nil"/>
          <w:left w:val="nil"/>
          <w:bottom w:val="nil"/>
          <w:right w:val="nil"/>
          <w:between w:val="nil"/>
        </w:pBdr>
        <w:spacing w:after="120" w:line="240" w:lineRule="auto"/>
        <w:ind w:hanging="2"/>
        <w:jc w:val="center"/>
        <w:rPr>
          <w:rFonts w:ascii="Arial" w:eastAsia="Arial" w:hAnsi="Arial" w:cs="Arial"/>
          <w:color w:val="000000"/>
          <w:sz w:val="24"/>
          <w:szCs w:val="24"/>
        </w:rPr>
      </w:pPr>
      <w:r>
        <w:rPr>
          <w:rFonts w:ascii="Arial" w:eastAsia="Arial" w:hAnsi="Arial" w:cs="Arial"/>
          <w:b/>
          <w:noProof/>
          <w:color w:val="000000"/>
          <w:sz w:val="24"/>
          <w:szCs w:val="24"/>
        </w:rPr>
        <w:drawing>
          <wp:inline distT="0" distB="0" distL="114300" distR="114300">
            <wp:extent cx="2811780" cy="213359"/>
            <wp:effectExtent l="0" t="0" r="0" b="0"/>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811780" cy="213359"/>
                    </a:xfrm>
                    <a:prstGeom prst="rect">
                      <a:avLst/>
                    </a:prstGeom>
                    <a:ln/>
                  </pic:spPr>
                </pic:pic>
              </a:graphicData>
            </a:graphic>
          </wp:inline>
        </w:drawing>
      </w:r>
    </w:p>
    <w:p w:rsidR="000C05D4" w:rsidRDefault="00B236BD">
      <w:pPr>
        <w:pBdr>
          <w:top w:val="nil"/>
          <w:left w:val="nil"/>
          <w:bottom w:val="nil"/>
          <w:right w:val="nil"/>
          <w:between w:val="nil"/>
        </w:pBdr>
        <w:spacing w:after="200" w:line="240" w:lineRule="auto"/>
        <w:ind w:hanging="2"/>
        <w:rPr>
          <w:rFonts w:ascii="Arial" w:eastAsia="Arial" w:hAnsi="Arial" w:cs="Arial"/>
          <w:color w:val="000000"/>
          <w:sz w:val="24"/>
          <w:szCs w:val="24"/>
        </w:rPr>
      </w:pPr>
      <w:r>
        <w:rPr>
          <w:rFonts w:ascii="Arial" w:eastAsia="Arial" w:hAnsi="Arial" w:cs="Arial"/>
          <w:color w:val="000000"/>
          <w:sz w:val="24"/>
          <w:szCs w:val="24"/>
        </w:rPr>
        <w:t>where:</w:t>
      </w:r>
    </w:p>
    <w:tbl>
      <w:tblPr>
        <w:tblStyle w:val="ac"/>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0C05D4">
        <w:tc>
          <w:tcPr>
            <w:tcW w:w="1134" w:type="dxa"/>
            <w:tcBorders>
              <w:top w:val="single" w:sz="4" w:space="0" w:color="000000"/>
              <w:left w:val="single" w:sz="4" w:space="0" w:color="000000"/>
            </w:tcBorders>
          </w:tcPr>
          <w:p w:rsidR="000C05D4" w:rsidRDefault="00B236BD">
            <w:pPr>
              <w:pBdr>
                <w:top w:val="nil"/>
                <w:left w:val="nil"/>
                <w:bottom w:val="nil"/>
                <w:right w:val="nil"/>
                <w:between w:val="nil"/>
              </w:pBdr>
              <w:spacing w:after="200" w:line="240" w:lineRule="auto"/>
              <w:ind w:hanging="2"/>
              <w:rPr>
                <w:rFonts w:ascii="Arial" w:eastAsia="Arial" w:hAnsi="Arial" w:cs="Arial"/>
                <w:color w:val="000000"/>
                <w:sz w:val="24"/>
                <w:szCs w:val="24"/>
              </w:rPr>
            </w:pPr>
            <w:proofErr w:type="spellStart"/>
            <w:r>
              <w:rPr>
                <w:rFonts w:ascii="Arial" w:eastAsia="Arial" w:hAnsi="Arial" w:cs="Arial"/>
                <w:color w:val="000000"/>
                <w:sz w:val="24"/>
                <w:szCs w:val="24"/>
              </w:rPr>
              <w:t>MP</w:t>
            </w:r>
            <w:r>
              <w:rPr>
                <w:rFonts w:ascii="Arial" w:eastAsia="Arial" w:hAnsi="Arial" w:cs="Arial"/>
                <w:color w:val="000000"/>
                <w:sz w:val="24"/>
                <w:szCs w:val="24"/>
                <w:vertAlign w:val="subscript"/>
              </w:rPr>
              <w:t>n</w:t>
            </w:r>
            <w:proofErr w:type="spellEnd"/>
          </w:p>
        </w:tc>
        <w:tc>
          <w:tcPr>
            <w:tcW w:w="6939" w:type="dxa"/>
            <w:tcBorders>
              <w:top w:val="single" w:sz="4" w:space="0" w:color="000000"/>
              <w:right w:val="single" w:sz="4" w:space="0" w:color="000000"/>
            </w:tcBorders>
          </w:tcPr>
          <w:p w:rsidR="000C05D4" w:rsidRDefault="00B236BD">
            <w:pPr>
              <w:pBdr>
                <w:top w:val="nil"/>
                <w:left w:val="nil"/>
                <w:bottom w:val="nil"/>
                <w:right w:val="nil"/>
                <w:between w:val="nil"/>
              </w:pBdr>
              <w:spacing w:after="200" w:line="240" w:lineRule="auto"/>
              <w:ind w:hanging="2"/>
              <w:rPr>
                <w:rFonts w:ascii="Arial" w:eastAsia="Arial" w:hAnsi="Arial" w:cs="Arial"/>
                <w:b w:val="0"/>
                <w:color w:val="000000"/>
                <w:sz w:val="24"/>
                <w:szCs w:val="24"/>
              </w:rPr>
            </w:pPr>
            <w:r>
              <w:rPr>
                <w:rFonts w:ascii="Arial" w:eastAsia="Arial" w:hAnsi="Arial" w:cs="Arial"/>
                <w:b w:val="0"/>
                <w:color w:val="000000"/>
                <w:sz w:val="24"/>
                <w:szCs w:val="24"/>
              </w:rPr>
              <w:t>is the Monthly Payment to be determined in respect of the Service Month “n”;</w:t>
            </w:r>
          </w:p>
        </w:tc>
      </w:tr>
      <w:tr w:rsidR="000C05D4">
        <w:tc>
          <w:tcPr>
            <w:tcW w:w="1134" w:type="dxa"/>
            <w:tcBorders>
              <w:left w:val="single" w:sz="4" w:space="0" w:color="000000"/>
            </w:tcBorders>
          </w:tcPr>
          <w:p w:rsidR="000C05D4" w:rsidRDefault="00B236BD">
            <w:pPr>
              <w:pBdr>
                <w:top w:val="nil"/>
                <w:left w:val="nil"/>
                <w:bottom w:val="nil"/>
                <w:right w:val="nil"/>
                <w:between w:val="nil"/>
              </w:pBdr>
              <w:spacing w:after="200" w:line="240" w:lineRule="auto"/>
              <w:ind w:hanging="2"/>
              <w:rPr>
                <w:rFonts w:ascii="Arial" w:eastAsia="Arial" w:hAnsi="Arial" w:cs="Arial"/>
                <w:color w:val="000000"/>
                <w:sz w:val="24"/>
                <w:szCs w:val="24"/>
              </w:rPr>
            </w:pPr>
            <w:proofErr w:type="spellStart"/>
            <w:r>
              <w:rPr>
                <w:rFonts w:ascii="Arial" w:eastAsia="Arial" w:hAnsi="Arial" w:cs="Arial"/>
                <w:color w:val="000000"/>
                <w:sz w:val="24"/>
                <w:szCs w:val="24"/>
              </w:rPr>
              <w:t>BMP</w:t>
            </w:r>
            <w:r>
              <w:rPr>
                <w:rFonts w:ascii="Arial" w:eastAsia="Arial" w:hAnsi="Arial" w:cs="Arial"/>
                <w:color w:val="000000"/>
                <w:sz w:val="24"/>
                <w:szCs w:val="24"/>
                <w:vertAlign w:val="subscript"/>
              </w:rPr>
              <w:t>n</w:t>
            </w:r>
            <w:proofErr w:type="spellEnd"/>
          </w:p>
        </w:tc>
        <w:tc>
          <w:tcPr>
            <w:tcW w:w="6939" w:type="dxa"/>
            <w:tcBorders>
              <w:right w:val="single" w:sz="4" w:space="0" w:color="000000"/>
            </w:tcBorders>
          </w:tcPr>
          <w:p w:rsidR="000C05D4" w:rsidRDefault="00B236BD">
            <w:pPr>
              <w:pBdr>
                <w:top w:val="nil"/>
                <w:left w:val="nil"/>
                <w:bottom w:val="nil"/>
                <w:right w:val="nil"/>
                <w:between w:val="nil"/>
              </w:pBdr>
              <w:spacing w:after="200" w:line="240" w:lineRule="auto"/>
              <w:ind w:hanging="2"/>
              <w:rPr>
                <w:rFonts w:ascii="Arial" w:eastAsia="Arial" w:hAnsi="Arial" w:cs="Arial"/>
                <w:b w:val="0"/>
                <w:color w:val="000000"/>
                <w:sz w:val="24"/>
                <w:szCs w:val="24"/>
              </w:rPr>
            </w:pPr>
            <w:r>
              <w:rPr>
                <w:rFonts w:ascii="Arial" w:eastAsia="Arial" w:hAnsi="Arial" w:cs="Arial"/>
                <w:b w:val="0"/>
                <w:color w:val="000000"/>
                <w:sz w:val="24"/>
                <w:szCs w:val="24"/>
              </w:rPr>
              <w:t>is the Baseline Monthly Payment for Service Month “n” which is calculated in accordance with paragraph 2 below;</w:t>
            </w:r>
          </w:p>
        </w:tc>
      </w:tr>
      <w:tr w:rsidR="000C05D4">
        <w:tc>
          <w:tcPr>
            <w:tcW w:w="1134" w:type="dxa"/>
            <w:tcBorders>
              <w:left w:val="single" w:sz="4" w:space="0" w:color="000000"/>
            </w:tcBorders>
          </w:tcPr>
          <w:p w:rsidR="000C05D4" w:rsidRDefault="00B236BD">
            <w:pPr>
              <w:pBdr>
                <w:top w:val="nil"/>
                <w:left w:val="nil"/>
                <w:bottom w:val="nil"/>
                <w:right w:val="nil"/>
                <w:between w:val="nil"/>
              </w:pBdr>
              <w:spacing w:after="200" w:line="240" w:lineRule="auto"/>
              <w:ind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rsidR="000C05D4" w:rsidRDefault="00B236BD">
            <w:pPr>
              <w:pBdr>
                <w:top w:val="nil"/>
                <w:left w:val="nil"/>
                <w:bottom w:val="nil"/>
                <w:right w:val="nil"/>
                <w:between w:val="nil"/>
              </w:pBdr>
              <w:spacing w:after="200" w:line="240" w:lineRule="auto"/>
              <w:ind w:hanging="2"/>
              <w:rPr>
                <w:rFonts w:ascii="Arial" w:eastAsia="Arial" w:hAnsi="Arial" w:cs="Arial"/>
                <w:b w:val="0"/>
                <w:color w:val="000000"/>
                <w:sz w:val="24"/>
                <w:szCs w:val="24"/>
              </w:rPr>
            </w:pPr>
            <w:r>
              <w:rPr>
                <w:rFonts w:ascii="Arial" w:eastAsia="Arial" w:hAnsi="Arial" w:cs="Arial"/>
                <w:b w:val="0"/>
                <w:color w:val="000000"/>
                <w:sz w:val="24"/>
                <w:szCs w:val="24"/>
              </w:rPr>
              <w:t xml:space="preserve">is the </w:t>
            </w:r>
            <w:proofErr w:type="gramStart"/>
            <w:r>
              <w:rPr>
                <w:rFonts w:ascii="Arial" w:eastAsia="Arial" w:hAnsi="Arial" w:cs="Arial"/>
                <w:b w:val="0"/>
                <w:color w:val="000000"/>
                <w:sz w:val="24"/>
                <w:szCs w:val="24"/>
              </w:rPr>
              <w:t>Pass Through</w:t>
            </w:r>
            <w:proofErr w:type="gramEnd"/>
            <w:r>
              <w:rPr>
                <w:rFonts w:ascii="Arial" w:eastAsia="Arial" w:hAnsi="Arial" w:cs="Arial"/>
                <w:b w:val="0"/>
                <w:color w:val="000000"/>
                <w:sz w:val="24"/>
                <w:szCs w:val="24"/>
              </w:rPr>
              <w:t xml:space="preserve"> Costs due in respect of the Previous Service Month which is calculated in accordance with paragraph 3 below; </w:t>
            </w:r>
          </w:p>
        </w:tc>
      </w:tr>
      <w:tr w:rsidR="000C05D4">
        <w:tc>
          <w:tcPr>
            <w:tcW w:w="1134" w:type="dxa"/>
            <w:tcBorders>
              <w:left w:val="single" w:sz="4" w:space="0" w:color="000000"/>
              <w:bottom w:val="single" w:sz="4" w:space="0" w:color="000000"/>
            </w:tcBorders>
          </w:tcPr>
          <w:p w:rsidR="000C05D4" w:rsidRDefault="00B236BD">
            <w:pPr>
              <w:pBdr>
                <w:top w:val="nil"/>
                <w:left w:val="nil"/>
                <w:bottom w:val="nil"/>
                <w:right w:val="nil"/>
                <w:between w:val="nil"/>
              </w:pBdr>
              <w:spacing w:after="200" w:line="240" w:lineRule="auto"/>
              <w:ind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rsidR="000C05D4" w:rsidRDefault="00B236BD">
            <w:pPr>
              <w:pBdr>
                <w:top w:val="nil"/>
                <w:left w:val="nil"/>
                <w:bottom w:val="nil"/>
                <w:right w:val="nil"/>
                <w:between w:val="nil"/>
              </w:pBdr>
              <w:spacing w:after="200" w:line="240" w:lineRule="auto"/>
              <w:ind w:hanging="2"/>
              <w:rPr>
                <w:rFonts w:ascii="Arial" w:eastAsia="Arial" w:hAnsi="Arial" w:cs="Arial"/>
                <w:b w:val="0"/>
                <w:color w:val="000000"/>
                <w:sz w:val="24"/>
                <w:szCs w:val="24"/>
              </w:rPr>
            </w:pPr>
            <w:r>
              <w:rPr>
                <w:rFonts w:ascii="Arial" w:eastAsia="Arial" w:hAnsi="Arial" w:cs="Arial"/>
                <w:b w:val="0"/>
                <w:color w:val="000000"/>
                <w:sz w:val="24"/>
                <w:szCs w:val="24"/>
              </w:rPr>
              <w:t>is the total price for Work Orders which have been completed in the Previous Service Month which shall be calculated in accordance with paragraph 4 below;</w:t>
            </w:r>
          </w:p>
        </w:tc>
      </w:tr>
      <w:tr w:rsidR="000C05D4">
        <w:trPr>
          <w:trHeight w:val="567"/>
        </w:trPr>
        <w:tc>
          <w:tcPr>
            <w:tcW w:w="1134" w:type="dxa"/>
            <w:tcBorders>
              <w:top w:val="single" w:sz="4" w:space="0" w:color="000000"/>
              <w:left w:val="single" w:sz="4" w:space="0" w:color="000000"/>
            </w:tcBorders>
          </w:tcPr>
          <w:p w:rsidR="000C05D4" w:rsidRDefault="00B236BD">
            <w:pPr>
              <w:pBdr>
                <w:top w:val="nil"/>
                <w:left w:val="nil"/>
                <w:bottom w:val="nil"/>
                <w:right w:val="nil"/>
                <w:between w:val="nil"/>
              </w:pBdr>
              <w:spacing w:after="200" w:line="240" w:lineRule="auto"/>
              <w:ind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rsidR="000C05D4" w:rsidRDefault="000C05D4">
            <w:pPr>
              <w:ind w:hanging="2"/>
              <w:rPr>
                <w:rFonts w:ascii="Arial" w:eastAsia="Arial" w:hAnsi="Arial" w:cs="Arial"/>
                <w:sz w:val="24"/>
                <w:szCs w:val="24"/>
              </w:rPr>
            </w:pPr>
          </w:p>
        </w:tc>
        <w:tc>
          <w:tcPr>
            <w:tcW w:w="6939" w:type="dxa"/>
            <w:tcBorders>
              <w:top w:val="single" w:sz="4" w:space="0" w:color="000000"/>
              <w:right w:val="single" w:sz="4" w:space="0" w:color="000000"/>
            </w:tcBorders>
          </w:tcPr>
          <w:p w:rsidR="000C05D4" w:rsidRDefault="00B236BD">
            <w:pPr>
              <w:pBdr>
                <w:top w:val="nil"/>
                <w:left w:val="nil"/>
                <w:bottom w:val="nil"/>
                <w:right w:val="nil"/>
                <w:between w:val="nil"/>
              </w:pBdr>
              <w:spacing w:after="200" w:line="240" w:lineRule="auto"/>
              <w:ind w:hanging="2"/>
              <w:rPr>
                <w:rFonts w:ascii="Arial" w:eastAsia="Arial" w:hAnsi="Arial" w:cs="Arial"/>
                <w:b w:val="0"/>
                <w:color w:val="000000"/>
                <w:sz w:val="24"/>
                <w:szCs w:val="24"/>
              </w:rPr>
            </w:pPr>
            <w:r>
              <w:rPr>
                <w:rFonts w:ascii="Arial" w:eastAsia="Arial" w:hAnsi="Arial" w:cs="Arial"/>
                <w:b w:val="0"/>
                <w:color w:val="000000"/>
                <w:sz w:val="24"/>
                <w:szCs w:val="24"/>
              </w:rPr>
              <w:t>is the monthly TUPE risk premium payable for the Previous Service Month calculated in accordance with Call-Off Schedule 28 (TUPE Surcharge) ("Monthly TUPE Risk Premium") and</w:t>
            </w:r>
          </w:p>
        </w:tc>
      </w:tr>
      <w:tr w:rsidR="000C05D4">
        <w:tc>
          <w:tcPr>
            <w:tcW w:w="1134" w:type="dxa"/>
            <w:tcBorders>
              <w:top w:val="single" w:sz="4" w:space="0" w:color="000000"/>
              <w:left w:val="single" w:sz="4" w:space="0" w:color="000000"/>
              <w:bottom w:val="single" w:sz="4" w:space="0" w:color="000000"/>
            </w:tcBorders>
          </w:tcPr>
          <w:p w:rsidR="000C05D4" w:rsidRDefault="00B236BD">
            <w:pPr>
              <w:pBdr>
                <w:top w:val="nil"/>
                <w:left w:val="nil"/>
                <w:bottom w:val="nil"/>
                <w:right w:val="nil"/>
                <w:between w:val="nil"/>
              </w:pBdr>
              <w:spacing w:after="120" w:line="240" w:lineRule="auto"/>
              <w:ind w:hanging="2"/>
              <w:rPr>
                <w:rFonts w:ascii="Arial" w:eastAsia="Arial" w:hAnsi="Arial" w:cs="Arial"/>
                <w:color w:val="000000"/>
                <w:sz w:val="24"/>
                <w:szCs w:val="24"/>
              </w:rPr>
            </w:pPr>
            <w:r>
              <w:rPr>
                <w:rFonts w:ascii="Arial" w:eastAsia="Arial" w:hAnsi="Arial" w:cs="Arial"/>
                <w:color w:val="000000"/>
                <w:sz w:val="24"/>
                <w:szCs w:val="24"/>
              </w:rPr>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rsidR="000C05D4" w:rsidRDefault="00B236BD">
            <w:pPr>
              <w:pBdr>
                <w:top w:val="nil"/>
                <w:left w:val="nil"/>
                <w:bottom w:val="nil"/>
                <w:right w:val="nil"/>
                <w:between w:val="nil"/>
              </w:pBdr>
              <w:spacing w:after="120" w:line="240" w:lineRule="auto"/>
              <w:ind w:hanging="2"/>
              <w:rPr>
                <w:rFonts w:ascii="Arial" w:eastAsia="Arial" w:hAnsi="Arial" w:cs="Arial"/>
                <w:b w:val="0"/>
                <w:color w:val="000000"/>
                <w:sz w:val="24"/>
                <w:szCs w:val="24"/>
              </w:rPr>
            </w:pPr>
            <w:r>
              <w:rPr>
                <w:rFonts w:ascii="Arial" w:eastAsia="Arial" w:hAnsi="Arial" w:cs="Arial"/>
                <w:b w:val="0"/>
                <w:color w:val="000000"/>
                <w:sz w:val="24"/>
                <w:szCs w:val="24"/>
              </w:rPr>
              <w:t xml:space="preserve">is the KPI Credit in respect of the Previous Service Month off set against the Earn Back Amount due (if applicable) for the current </w:t>
            </w:r>
            <w:r>
              <w:rPr>
                <w:rFonts w:ascii="Arial" w:eastAsia="Arial" w:hAnsi="Arial" w:cs="Arial"/>
                <w:b w:val="0"/>
                <w:color w:val="000000"/>
                <w:sz w:val="24"/>
                <w:szCs w:val="24"/>
              </w:rPr>
              <w:lastRenderedPageBreak/>
              <w:t>Service Month (or where the Order Form states that KPIs are not applicable then PA</w:t>
            </w:r>
            <w:r>
              <w:rPr>
                <w:rFonts w:ascii="Arial" w:eastAsia="Arial" w:hAnsi="Arial" w:cs="Arial"/>
                <w:b w:val="0"/>
                <w:color w:val="000000"/>
                <w:sz w:val="24"/>
                <w:szCs w:val="24"/>
                <w:vertAlign w:val="subscript"/>
              </w:rPr>
              <w:t>n-1</w:t>
            </w:r>
            <w:r>
              <w:rPr>
                <w:rFonts w:ascii="Arial" w:eastAsia="Arial" w:hAnsi="Arial" w:cs="Arial"/>
                <w:b w:val="0"/>
                <w:color w:val="000000"/>
                <w:sz w:val="24"/>
                <w:szCs w:val="24"/>
              </w:rPr>
              <w:t xml:space="preserve"> shall be deemed to be £0).</w:t>
            </w:r>
          </w:p>
          <w:p w:rsidR="000C05D4" w:rsidRDefault="00B236BD">
            <w:pPr>
              <w:pBdr>
                <w:top w:val="nil"/>
                <w:left w:val="nil"/>
                <w:bottom w:val="nil"/>
                <w:right w:val="nil"/>
                <w:between w:val="nil"/>
              </w:pBdr>
              <w:spacing w:after="120" w:line="240" w:lineRule="auto"/>
              <w:ind w:hanging="2"/>
              <w:rPr>
                <w:rFonts w:ascii="Arial" w:eastAsia="Arial" w:hAnsi="Arial" w:cs="Arial"/>
                <w:b w:val="0"/>
                <w:color w:val="000000"/>
                <w:sz w:val="24"/>
                <w:szCs w:val="24"/>
              </w:rPr>
            </w:pPr>
            <w:r>
              <w:t xml:space="preserve">     </w:t>
            </w:r>
          </w:p>
        </w:tc>
      </w:tr>
    </w:tbl>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0C05D4" w:rsidRDefault="00B236BD">
      <w:pPr>
        <w:pBdr>
          <w:top w:val="nil"/>
          <w:left w:val="nil"/>
          <w:bottom w:val="nil"/>
          <w:right w:val="nil"/>
          <w:between w:val="nil"/>
        </w:pBdr>
        <w:spacing w:after="200" w:line="240" w:lineRule="auto"/>
        <w:ind w:hanging="2"/>
        <w:rPr>
          <w:rFonts w:ascii="Arial" w:eastAsia="Arial" w:hAnsi="Arial" w:cs="Arial"/>
          <w:color w:val="000000"/>
          <w:sz w:val="24"/>
          <w:szCs w:val="24"/>
        </w:rPr>
      </w:pPr>
      <w:r>
        <w:rPr>
          <w:rFonts w:ascii="Arial" w:eastAsia="Arial" w:hAnsi="Arial" w:cs="Arial"/>
          <w:noProof/>
          <w:color w:val="000000"/>
          <w:sz w:val="24"/>
          <w:szCs w:val="24"/>
        </w:rPr>
        <w:drawing>
          <wp:inline distT="0" distB="0" distL="114300" distR="114300">
            <wp:extent cx="3147060" cy="205740"/>
            <wp:effectExtent l="0" t="0" r="0" b="0"/>
            <wp:docPr id="3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3147060" cy="205740"/>
                    </a:xfrm>
                    <a:prstGeom prst="rect">
                      <a:avLst/>
                    </a:prstGeom>
                    <a:ln/>
                  </pic:spPr>
                </pic:pic>
              </a:graphicData>
            </a:graphic>
          </wp:inline>
        </w:drawing>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incurred within the final Service Month; </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rsidR="000C05D4" w:rsidRDefault="00B236BD">
      <w:pPr>
        <w:pBdr>
          <w:top w:val="nil"/>
          <w:left w:val="nil"/>
          <w:bottom w:val="nil"/>
          <w:right w:val="nil"/>
          <w:between w:val="nil"/>
        </w:pBdr>
        <w:spacing w:line="240" w:lineRule="auto"/>
        <w:ind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0C05D4" w:rsidRDefault="00B236BD">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rsidR="000C05D4" w:rsidRDefault="00B236BD">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only those types of Pass Through Costs set out in the Order Form shall be recoverable;</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shall only be recoverable where they are incurred in accordance with the guidelines that the Buyer may issue to the Supplier from time to time; </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not be entitled to charge any additional amount on top of 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including any margin, mark up or uplift costs; and</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claim for Pass Through Costs shall be supported by such documentation as the Buyer may request from time to time.</w:t>
      </w:r>
    </w:p>
    <w:p w:rsidR="000C05D4" w:rsidRDefault="00B236BD">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rsidR="000C05D4" w:rsidRDefault="00B236BD">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rsidR="000C05D4" w:rsidRDefault="00B236BD">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rsidR="000C05D4" w:rsidRDefault="00B236BD">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rsidR="000C05D4" w:rsidRDefault="00B236BD">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Pricing </w:t>
      </w:r>
      <w:proofErr w:type="gramStart"/>
      <w:r>
        <w:rPr>
          <w:rFonts w:ascii="Arial" w:eastAsia="Arial" w:hAnsi="Arial" w:cs="Arial"/>
          <w:b/>
          <w:sz w:val="24"/>
          <w:szCs w:val="24"/>
        </w:rPr>
        <w:t>For</w:t>
      </w:r>
      <w:proofErr w:type="gramEnd"/>
      <w:r>
        <w:rPr>
          <w:rFonts w:ascii="Arial" w:eastAsia="Arial" w:hAnsi="Arial" w:cs="Arial"/>
          <w:b/>
          <w:sz w:val="24"/>
          <w:szCs w:val="24"/>
        </w:rPr>
        <w:t xml:space="preserve"> Variations</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w:t>
      </w:r>
      <w:r>
        <w:rPr>
          <w:rFonts w:ascii="Arial" w:eastAsia="Arial" w:hAnsi="Arial" w:cs="Arial"/>
          <w:sz w:val="24"/>
          <w:szCs w:val="24"/>
        </w:rPr>
        <w:t>Clause</w:t>
      </w:r>
      <w:r>
        <w:rPr>
          <w:rFonts w:ascii="Arial" w:eastAsia="Arial" w:hAnsi="Arial" w:cs="Arial"/>
          <w:color w:val="000000"/>
          <w:sz w:val="24"/>
          <w:szCs w:val="24"/>
        </w:rPr>
        <w:t xml:space="preserve">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Call-Off Pricing revisions for any / all inaccuracies in the Due Diligence Information identified outside of the Mobilisation Period are not permitted.</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Call-Off Contract Mobilisation Period, the following shall apply: </w:t>
      </w:r>
    </w:p>
    <w:p w:rsidR="000C05D4" w:rsidRDefault="00B236BD">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w:t>
      </w:r>
      <w:proofErr w:type="gramStart"/>
      <w:r>
        <w:rPr>
          <w:rFonts w:ascii="Arial" w:eastAsia="Arial" w:hAnsi="Arial" w:cs="Arial"/>
          <w:color w:val="000000"/>
          <w:sz w:val="24"/>
          <w:szCs w:val="24"/>
        </w:rPr>
        <w:t>the  Call</w:t>
      </w:r>
      <w:proofErr w:type="gramEnd"/>
      <w:r>
        <w:rPr>
          <w:rFonts w:ascii="Arial" w:eastAsia="Arial" w:hAnsi="Arial" w:cs="Arial"/>
          <w:color w:val="000000"/>
          <w:sz w:val="24"/>
          <w:szCs w:val="24"/>
        </w:rPr>
        <w:t xml:space="preserve">-Off Contract, was incorrect; </w:t>
      </w:r>
    </w:p>
    <w:p w:rsidR="000C05D4" w:rsidRDefault="00B236BD">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rsidR="000C05D4" w:rsidRDefault="00B236BD">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rsidR="000C05D4" w:rsidRDefault="00B236BD">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Changes </w:t>
      </w:r>
      <w:proofErr w:type="gramStart"/>
      <w:r>
        <w:rPr>
          <w:rFonts w:ascii="Arial" w:eastAsia="Arial" w:hAnsi="Arial" w:cs="Arial"/>
          <w:b/>
          <w:sz w:val="24"/>
          <w:szCs w:val="24"/>
        </w:rPr>
        <w:t>To</w:t>
      </w:r>
      <w:proofErr w:type="gramEnd"/>
      <w:r>
        <w:rPr>
          <w:rFonts w:ascii="Arial" w:eastAsia="Arial" w:hAnsi="Arial" w:cs="Arial"/>
          <w:b/>
          <w:sz w:val="24"/>
          <w:szCs w:val="24"/>
        </w:rPr>
        <w:t xml:space="preserve"> Minimum / Living Wage</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 xml:space="preserve">the number of hours worked by each of the affected Supplier Personnel.  </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C05D4" w:rsidRDefault="00B236BD">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rsidR="000C05D4" w:rsidRDefault="00B236B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0C05D4" w:rsidRDefault="00B236BD">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p>
    <w:p w:rsidR="000C05D4" w:rsidRDefault="00B236B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rsidR="000C05D4" w:rsidRDefault="000C05D4">
      <w:pPr>
        <w:pBdr>
          <w:top w:val="nil"/>
          <w:left w:val="nil"/>
          <w:bottom w:val="nil"/>
          <w:right w:val="nil"/>
          <w:between w:val="nil"/>
        </w:pBdr>
        <w:spacing w:line="240" w:lineRule="auto"/>
        <w:ind w:hanging="2"/>
        <w:rPr>
          <w:rFonts w:ascii="Arial" w:eastAsia="Arial" w:hAnsi="Arial" w:cs="Arial"/>
          <w:sz w:val="24"/>
          <w:szCs w:val="24"/>
        </w:rPr>
      </w:pPr>
    </w:p>
    <w:p w:rsidR="000C05D4" w:rsidRDefault="00B236BD">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rsidR="000C05D4" w:rsidRDefault="00B236BD">
      <w:pPr>
        <w:keepNext/>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rsidR="000C05D4" w:rsidRDefault="00B236BD">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rsidR="000C05D4" w:rsidRDefault="00B236BD">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rsidR="000C05D4" w:rsidRDefault="00B236BD">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rsidR="000C05D4" w:rsidRDefault="00B236BD">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rsidR="000C05D4" w:rsidRDefault="00B236BD">
      <w:pPr>
        <w:spacing w:after="0" w:line="240" w:lineRule="auto"/>
        <w:ind w:hanging="2"/>
        <w:jc w:val="left"/>
        <w:rPr>
          <w:rFonts w:ascii="Arial" w:eastAsia="Arial" w:hAnsi="Arial" w:cs="Arial"/>
          <w:color w:val="000000"/>
          <w:sz w:val="24"/>
          <w:szCs w:val="24"/>
        </w:rPr>
      </w:pPr>
      <w:r>
        <w:rPr>
          <w:rFonts w:ascii="Arial" w:eastAsia="Arial" w:hAnsi="Arial" w:cs="Arial"/>
          <w:color w:val="000000"/>
          <w:sz w:val="24"/>
          <w:szCs w:val="24"/>
        </w:rPr>
        <w:t>provided that such amounts shall only be recoverable if and to the extent that the Supplier has used all reasonable endeavours to minimise them.</w:t>
      </w:r>
    </w:p>
    <w:p w:rsidR="000C05D4" w:rsidRDefault="000C05D4">
      <w:pPr>
        <w:spacing w:after="0" w:line="240" w:lineRule="auto"/>
        <w:ind w:hanging="2"/>
        <w:jc w:val="left"/>
        <w:rPr>
          <w:rFonts w:ascii="Arial" w:eastAsia="Arial" w:hAnsi="Arial" w:cs="Arial"/>
          <w:sz w:val="24"/>
          <w:szCs w:val="24"/>
        </w:rPr>
      </w:pPr>
    </w:p>
    <w:p w:rsidR="000C05D4" w:rsidRDefault="000C05D4">
      <w:pPr>
        <w:spacing w:after="0" w:line="240" w:lineRule="auto"/>
        <w:ind w:hanging="2"/>
        <w:jc w:val="left"/>
        <w:rPr>
          <w:rFonts w:ascii="Arial" w:eastAsia="Arial" w:hAnsi="Arial" w:cs="Arial"/>
          <w:sz w:val="24"/>
          <w:szCs w:val="24"/>
        </w:rPr>
      </w:pPr>
    </w:p>
    <w:p w:rsidR="004A7640" w:rsidRDefault="004A7640">
      <w:pPr>
        <w:spacing w:after="0" w:line="240" w:lineRule="auto"/>
        <w:ind w:hanging="2"/>
        <w:jc w:val="left"/>
        <w:rPr>
          <w:rFonts w:ascii="Arial" w:eastAsia="Arial" w:hAnsi="Arial" w:cs="Arial"/>
          <w:sz w:val="24"/>
          <w:szCs w:val="24"/>
        </w:rPr>
      </w:pPr>
    </w:p>
    <w:p w:rsidR="004A7640" w:rsidRDefault="004A7640">
      <w:pPr>
        <w:spacing w:after="0" w:line="240" w:lineRule="auto"/>
        <w:ind w:hanging="2"/>
        <w:jc w:val="left"/>
        <w:rPr>
          <w:rFonts w:ascii="Arial" w:eastAsia="Arial" w:hAnsi="Arial" w:cs="Arial"/>
          <w:sz w:val="24"/>
          <w:szCs w:val="24"/>
        </w:rPr>
      </w:pPr>
    </w:p>
    <w:p w:rsidR="004A7640" w:rsidRDefault="004A7640">
      <w:pPr>
        <w:rPr>
          <w:rFonts w:ascii="Arial" w:eastAsia="Arial" w:hAnsi="Arial" w:cs="Arial"/>
          <w:sz w:val="24"/>
          <w:szCs w:val="24"/>
        </w:rPr>
      </w:pPr>
      <w:r>
        <w:rPr>
          <w:rFonts w:ascii="Arial" w:eastAsia="Arial" w:hAnsi="Arial" w:cs="Arial"/>
          <w:sz w:val="24"/>
          <w:szCs w:val="24"/>
        </w:rPr>
        <w:br w:type="page"/>
      </w:r>
    </w:p>
    <w:p w:rsidR="004A7640" w:rsidRDefault="004A7640">
      <w:pPr>
        <w:spacing w:after="0" w:line="240" w:lineRule="auto"/>
        <w:ind w:hanging="2"/>
        <w:jc w:val="left"/>
        <w:rPr>
          <w:rFonts w:ascii="Arial" w:eastAsia="Arial" w:hAnsi="Arial" w:cs="Arial"/>
          <w:b/>
          <w:sz w:val="24"/>
          <w:szCs w:val="24"/>
        </w:rPr>
      </w:pPr>
      <w:r w:rsidRPr="004A7640">
        <w:rPr>
          <w:rFonts w:ascii="Arial" w:eastAsia="Arial" w:hAnsi="Arial" w:cs="Arial"/>
          <w:b/>
          <w:sz w:val="24"/>
          <w:szCs w:val="24"/>
        </w:rPr>
        <w:lastRenderedPageBreak/>
        <w:t>Suppliers Commercial Submission</w:t>
      </w:r>
      <w:r>
        <w:rPr>
          <w:rFonts w:ascii="Arial" w:eastAsia="Arial" w:hAnsi="Arial" w:cs="Arial"/>
          <w:b/>
          <w:sz w:val="24"/>
          <w:szCs w:val="24"/>
        </w:rPr>
        <w:t xml:space="preserve"> (Call-Off Tender)</w:t>
      </w:r>
    </w:p>
    <w:p w:rsidR="004A7640" w:rsidRDefault="004A7640">
      <w:pPr>
        <w:spacing w:after="0" w:line="240" w:lineRule="auto"/>
        <w:ind w:hanging="2"/>
        <w:jc w:val="left"/>
        <w:rPr>
          <w:rFonts w:ascii="Arial" w:eastAsia="Arial" w:hAnsi="Arial" w:cs="Arial"/>
          <w:b/>
          <w:sz w:val="24"/>
          <w:szCs w:val="24"/>
        </w:rPr>
      </w:pPr>
    </w:p>
    <w:p w:rsidR="004A7640" w:rsidRPr="001D1904" w:rsidRDefault="001D1904">
      <w:pPr>
        <w:spacing w:after="0" w:line="240" w:lineRule="auto"/>
        <w:ind w:hanging="2"/>
        <w:jc w:val="left"/>
        <w:rPr>
          <w:rFonts w:ascii="Arial" w:eastAsia="Arial" w:hAnsi="Arial" w:cs="Arial"/>
          <w:i/>
          <w:sz w:val="24"/>
          <w:szCs w:val="24"/>
        </w:rPr>
      </w:pPr>
      <w:bookmarkStart w:id="0" w:name="_GoBack"/>
      <w:r w:rsidRPr="001D1904">
        <w:rPr>
          <w:rFonts w:ascii="Arial" w:eastAsia="Arial" w:hAnsi="Arial" w:cs="Arial"/>
          <w:i/>
          <w:sz w:val="24"/>
          <w:szCs w:val="24"/>
        </w:rPr>
        <w:t>Redacted Text Under FOIA Section 43, Commercial Interests</w:t>
      </w:r>
      <w:bookmarkEnd w:id="0"/>
    </w:p>
    <w:sectPr w:rsidR="004A7640" w:rsidRPr="001D1904" w:rsidSect="004A7640">
      <w:pgSz w:w="11909" w:h="16834"/>
      <w:pgMar w:top="1440" w:right="1440" w:bottom="1440" w:left="1440"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3251" w:rsidRDefault="00453251">
      <w:pPr>
        <w:spacing w:after="0" w:line="240" w:lineRule="auto"/>
      </w:pPr>
      <w:r>
        <w:separator/>
      </w:r>
    </w:p>
  </w:endnote>
  <w:endnote w:type="continuationSeparator" w:id="0">
    <w:p w:rsidR="00453251" w:rsidRDefault="00453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Roboto">
    <w:altName w:val="Arial"/>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3251" w:rsidRDefault="00453251">
      <w:pPr>
        <w:spacing w:after="0" w:line="240" w:lineRule="auto"/>
      </w:pPr>
      <w:r>
        <w:separator/>
      </w:r>
    </w:p>
  </w:footnote>
  <w:footnote w:type="continuationSeparator" w:id="0">
    <w:p w:rsidR="00453251" w:rsidRDefault="004532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126D7"/>
    <w:multiLevelType w:val="multilevel"/>
    <w:tmpl w:val="60A2960C"/>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1E195814"/>
    <w:multiLevelType w:val="multilevel"/>
    <w:tmpl w:val="61BE39C0"/>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2" w15:restartNumberingAfterBreak="0">
    <w:nsid w:val="663A0853"/>
    <w:multiLevelType w:val="multilevel"/>
    <w:tmpl w:val="22103512"/>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5D4"/>
    <w:rsid w:val="000C05D4"/>
    <w:rsid w:val="001D1904"/>
    <w:rsid w:val="00453251"/>
    <w:rsid w:val="004A7640"/>
    <w:rsid w:val="00B236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88BDC1-6E0B-4897-94CD-7FA90B4A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pBdr>
        <w:top w:val="nil"/>
        <w:left w:val="nil"/>
        <w:bottom w:val="nil"/>
        <w:right w:val="nil"/>
        <w:between w:val="nil"/>
      </w:pBdr>
      <w:outlineLvl w:val="0"/>
    </w:pPr>
    <w:rPr>
      <w:color w:val="000000"/>
    </w:rPr>
  </w:style>
  <w:style w:type="paragraph" w:styleId="Heading2">
    <w:name w:val="heading 2"/>
    <w:basedOn w:val="Normal"/>
    <w:next w:val="Normal"/>
    <w:uiPriority w:val="9"/>
    <w:semiHidden/>
    <w:unhideWhenUsed/>
    <w:qFormat/>
    <w:pPr>
      <w:pBdr>
        <w:top w:val="nil"/>
        <w:left w:val="nil"/>
        <w:bottom w:val="nil"/>
        <w:right w:val="nil"/>
        <w:between w:val="nil"/>
      </w:pBdr>
      <w:outlineLvl w:val="1"/>
    </w:pPr>
    <w:rPr>
      <w:rFonts w:ascii="Calibri" w:eastAsia="Calibri" w:hAnsi="Calibri" w:cs="Calibri"/>
      <w:color w:val="000000"/>
    </w:rPr>
  </w:style>
  <w:style w:type="paragraph" w:styleId="Heading3">
    <w:name w:val="heading 3"/>
    <w:basedOn w:val="Normal"/>
    <w:next w:val="Normal"/>
    <w:uiPriority w:val="9"/>
    <w:semiHidden/>
    <w:unhideWhenUsed/>
    <w:qFormat/>
    <w:pPr>
      <w:pBdr>
        <w:top w:val="nil"/>
        <w:left w:val="nil"/>
        <w:bottom w:val="nil"/>
        <w:right w:val="nil"/>
        <w:between w:val="nil"/>
      </w:pBdr>
      <w:outlineLvl w:val="2"/>
    </w:pPr>
    <w:rPr>
      <w:color w:val="000000"/>
    </w:rPr>
  </w:style>
  <w:style w:type="paragraph" w:styleId="Heading4">
    <w:name w:val="heading 4"/>
    <w:basedOn w:val="Normal"/>
    <w:next w:val="Normal"/>
    <w:uiPriority w:val="9"/>
    <w:semiHidden/>
    <w:unhideWhenUsed/>
    <w:qFormat/>
    <w:pPr>
      <w:pBdr>
        <w:top w:val="nil"/>
        <w:left w:val="nil"/>
        <w:bottom w:val="nil"/>
        <w:right w:val="nil"/>
        <w:between w:val="nil"/>
      </w:pBdr>
      <w:outlineLvl w:val="3"/>
    </w:pPr>
    <w:rPr>
      <w:color w:val="000000"/>
    </w:rPr>
  </w:style>
  <w:style w:type="paragraph" w:styleId="Heading5">
    <w:name w:val="heading 5"/>
    <w:basedOn w:val="Normal"/>
    <w:next w:val="Normal"/>
    <w:uiPriority w:val="9"/>
    <w:semiHidden/>
    <w:unhideWhenUsed/>
    <w:qFormat/>
    <w:pPr>
      <w:pBdr>
        <w:top w:val="nil"/>
        <w:left w:val="nil"/>
        <w:bottom w:val="nil"/>
        <w:right w:val="nil"/>
        <w:between w:val="nil"/>
      </w:pBdr>
      <w:outlineLvl w:val="4"/>
    </w:pPr>
    <w:rPr>
      <w:color w:val="000000"/>
    </w:rPr>
  </w:style>
  <w:style w:type="paragraph" w:styleId="Heading6">
    <w:name w:val="heading 6"/>
    <w:basedOn w:val="Normal"/>
    <w:next w:val="Normal"/>
    <w:uiPriority w:val="9"/>
    <w:semiHidden/>
    <w:unhideWhenUsed/>
    <w:qFormat/>
    <w:pPr>
      <w:pBdr>
        <w:top w:val="nil"/>
        <w:left w:val="nil"/>
        <w:bottom w:val="nil"/>
        <w:right w:val="nil"/>
        <w:between w:val="nil"/>
      </w:pBdr>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Arial" w:eastAsia="Arial" w:hAnsi="Arial" w:cs="Arial"/>
      <w:b/>
      <w:sz w:val="32"/>
      <w:szCs w:val="32"/>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table" w:customStyle="1" w:styleId="a">
    <w:basedOn w:val="TableNormal"/>
    <w:rPr>
      <w:rFonts w:ascii="Cambria" w:eastAsia="Cambria" w:hAnsi="Cambria" w:cs="Cambria"/>
      <w:b/>
      <w:color w:val="FFFFFF"/>
    </w:rPr>
    <w:tblPr>
      <w:tblStyleRowBandSize w:val="1"/>
      <w:tblStyleColBandSize w:val="1"/>
    </w:tblPr>
  </w:style>
  <w:style w:type="table" w:customStyle="1" w:styleId="a0">
    <w:basedOn w:val="TableNormal"/>
    <w:rPr>
      <w:rFonts w:ascii="Cambria" w:eastAsia="Cambria" w:hAnsi="Cambria" w:cs="Cambria"/>
      <w:b/>
      <w:color w:val="FFFFFF"/>
    </w:rPr>
    <w:tblPr>
      <w:tblStyleRowBandSize w:val="1"/>
      <w:tblStyleColBandSize w:val="1"/>
    </w:tblPr>
  </w:style>
  <w:style w:type="paragraph" w:styleId="Header">
    <w:name w:val="header"/>
    <w:basedOn w:val="Normal"/>
    <w:link w:val="HeaderChar"/>
    <w:uiPriority w:val="99"/>
    <w:pPr>
      <w:tabs>
        <w:tab w:val="center" w:pos="4153"/>
        <w:tab w:val="right" w:pos="8306"/>
      </w:tabs>
      <w:overflowPunct w:val="0"/>
      <w:autoSpaceDE w:val="0"/>
      <w:autoSpaceDN w:val="0"/>
      <w:adjustRightInd w:val="0"/>
      <w:ind w:firstLine="0"/>
      <w:textAlignment w:val="baseline"/>
    </w:pPr>
    <w:rPr>
      <w:szCs w:val="20"/>
      <w:lang w:eastAsia="en-US"/>
    </w:rPr>
  </w:style>
  <w:style w:type="character" w:customStyle="1" w:styleId="HeaderChar">
    <w:name w:val="Header Char"/>
    <w:basedOn w:val="DefaultParagraphFont"/>
    <w:link w:val="Header"/>
    <w:uiPriority w:val="99"/>
    <w:rPr>
      <w:szCs w:val="20"/>
      <w:lang w:eastAsia="en-US"/>
    </w:rPr>
  </w:style>
  <w:style w:type="paragraph" w:styleId="Revision">
    <w:name w:val="Revision"/>
    <w:hidden/>
    <w:uiPriority w:val="99"/>
    <w:semiHidden/>
    <w:rsid w:val="003C4200"/>
    <w:pPr>
      <w:spacing w:after="0" w:line="240" w:lineRule="auto"/>
      <w:ind w:firstLine="0"/>
      <w:jc w:val="left"/>
    </w:pPr>
  </w:style>
  <w:style w:type="paragraph" w:styleId="BalloonText">
    <w:name w:val="Balloon Text"/>
    <w:basedOn w:val="Normal"/>
    <w:link w:val="BalloonTextChar"/>
    <w:uiPriority w:val="99"/>
    <w:semiHidden/>
    <w:unhideWhenUsed/>
    <w:rsid w:val="003C42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200"/>
    <w:rPr>
      <w:rFonts w:ascii="Segoe UI" w:hAnsi="Segoe UI" w:cs="Segoe UI"/>
      <w:sz w:val="18"/>
      <w:szCs w:val="18"/>
    </w:rPr>
  </w:style>
  <w:style w:type="table" w:customStyle="1" w:styleId="a1">
    <w:basedOn w:val="TableNormal"/>
    <w:rPr>
      <w:rFonts w:ascii="Cambria" w:eastAsia="Cambria" w:hAnsi="Cambria" w:cs="Cambria"/>
      <w:b/>
      <w:color w:val="FFFFFF"/>
    </w:rPr>
    <w:tblPr>
      <w:tblStyleRowBandSize w:val="1"/>
      <w:tblStyleColBandSize w:val="1"/>
    </w:tblPr>
  </w:style>
  <w:style w:type="table" w:customStyle="1" w:styleId="a2">
    <w:basedOn w:val="TableNormal"/>
    <w:rPr>
      <w:rFonts w:ascii="Cambria" w:eastAsia="Cambria" w:hAnsi="Cambria" w:cs="Cambria"/>
      <w:b/>
      <w:color w:val="FFFFFF"/>
    </w:rPr>
    <w:tblPr>
      <w:tblStyleRowBandSize w:val="1"/>
      <w:tblStyleColBandSize w:val="1"/>
    </w:tblPr>
  </w:style>
  <w:style w:type="table" w:customStyle="1" w:styleId="a3">
    <w:basedOn w:val="TableNormal"/>
    <w:rPr>
      <w:rFonts w:ascii="Cambria" w:eastAsia="Cambria" w:hAnsi="Cambria" w:cs="Cambria"/>
      <w:b/>
      <w:color w:val="FFFFFF"/>
    </w:rPr>
    <w:tblPr>
      <w:tblStyleRowBandSize w:val="1"/>
      <w:tblStyleColBandSize w:val="1"/>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B0158"/>
    <w:rPr>
      <w:b/>
      <w:bCs/>
    </w:rPr>
  </w:style>
  <w:style w:type="character" w:customStyle="1" w:styleId="CommentSubjectChar">
    <w:name w:val="Comment Subject Char"/>
    <w:basedOn w:val="CommentTextChar"/>
    <w:link w:val="CommentSubject"/>
    <w:uiPriority w:val="99"/>
    <w:semiHidden/>
    <w:rsid w:val="00FB0158"/>
    <w:rPr>
      <w:b/>
      <w:bCs/>
      <w:sz w:val="20"/>
      <w:szCs w:val="20"/>
    </w:r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rPr>
      <w:rFonts w:ascii="Cambria" w:eastAsia="Cambria" w:hAnsi="Cambria" w:cs="Cambria"/>
      <w:b/>
      <w:color w:val="FFFFFF"/>
    </w:rPr>
    <w:tblPr>
      <w:tblStyleRowBandSize w:val="1"/>
      <w:tblStyleColBandSize w:val="1"/>
    </w:tblPr>
  </w:style>
  <w:style w:type="table" w:customStyle="1" w:styleId="a6">
    <w:basedOn w:val="TableNormal"/>
    <w:rPr>
      <w:rFonts w:ascii="Cambria" w:eastAsia="Cambria" w:hAnsi="Cambria" w:cs="Cambria"/>
      <w:b/>
      <w:color w:val="FFFFFF"/>
    </w:rPr>
    <w:tblPr>
      <w:tblStyleRowBandSize w:val="1"/>
      <w:tblStyleColBandSize w:val="1"/>
    </w:tblPr>
  </w:style>
  <w:style w:type="table" w:customStyle="1" w:styleId="a7">
    <w:basedOn w:val="TableNormal"/>
    <w:rPr>
      <w:rFonts w:ascii="Cambria" w:eastAsia="Cambria" w:hAnsi="Cambria" w:cs="Cambria"/>
      <w:b/>
      <w:color w:val="FFFFFF"/>
    </w:rPr>
    <w:tblPr>
      <w:tblStyleRowBandSize w:val="1"/>
      <w:tblStyleColBandSize w:val="1"/>
    </w:tblPr>
  </w:style>
  <w:style w:type="table" w:customStyle="1" w:styleId="a8">
    <w:basedOn w:val="TableNormal"/>
    <w:rPr>
      <w:rFonts w:ascii="Cambria" w:eastAsia="Cambria" w:hAnsi="Cambria" w:cs="Cambria"/>
      <w:b/>
      <w:color w:val="FFFFFF"/>
    </w:rPr>
    <w:tblPr>
      <w:tblStyleRowBandSize w:val="1"/>
      <w:tblStyleColBandSize w:val="1"/>
      <w:tblCellMar>
        <w:left w:w="0" w:type="dxa"/>
        <w:right w:w="0" w:type="dxa"/>
      </w:tblCellMar>
    </w:tblPr>
  </w:style>
  <w:style w:type="table" w:customStyle="1" w:styleId="a9">
    <w:basedOn w:val="TableNormal"/>
    <w:rPr>
      <w:rFonts w:ascii="Cambria" w:eastAsia="Cambria" w:hAnsi="Cambria" w:cs="Cambria"/>
      <w:b/>
      <w:color w:val="FFFFFF"/>
    </w:rPr>
    <w:tblPr>
      <w:tblStyleRowBandSize w:val="1"/>
      <w:tblStyleColBandSize w:val="1"/>
      <w:tblCellMar>
        <w:left w:w="0" w:type="dxa"/>
        <w:right w:w="0" w:type="dxa"/>
      </w:tblCellMar>
    </w:tblPr>
  </w:style>
  <w:style w:type="table" w:customStyle="1" w:styleId="aa">
    <w:basedOn w:val="TableNormal"/>
    <w:rPr>
      <w:rFonts w:ascii="Cambria" w:eastAsia="Cambria" w:hAnsi="Cambria" w:cs="Cambria"/>
      <w:b/>
      <w:color w:val="FFFFFF"/>
    </w:rPr>
    <w:tblPr>
      <w:tblStyleRowBandSize w:val="1"/>
      <w:tblStyleColBandSize w:val="1"/>
      <w:tblCellMar>
        <w:left w:w="0" w:type="dxa"/>
        <w:right w:w="0" w:type="dxa"/>
      </w:tblCellMar>
    </w:tblPr>
  </w:style>
  <w:style w:type="table" w:customStyle="1" w:styleId="ab">
    <w:basedOn w:val="TableNormal"/>
    <w:rPr>
      <w:rFonts w:ascii="Cambria" w:eastAsia="Cambria" w:hAnsi="Cambria" w:cs="Cambria"/>
      <w:b/>
      <w:color w:val="FFFFFF"/>
    </w:rPr>
    <w:tblPr>
      <w:tblStyleRowBandSize w:val="1"/>
      <w:tblStyleColBandSize w:val="1"/>
      <w:tblCellMar>
        <w:left w:w="0" w:type="dxa"/>
        <w:right w:w="0" w:type="dxa"/>
      </w:tblCellMar>
    </w:tblPr>
  </w:style>
  <w:style w:type="table" w:customStyle="1" w:styleId="ac">
    <w:basedOn w:val="TableNormal"/>
    <w:rPr>
      <w:rFonts w:ascii="Cambria" w:eastAsia="Cambria" w:hAnsi="Cambria" w:cs="Cambria"/>
      <w:b/>
      <w:color w:val="FFFFFF"/>
    </w:rPr>
    <w:tblPr>
      <w:tblStyleRowBandSize w:val="1"/>
      <w:tblStyleColBandSize w:val="1"/>
      <w:tblCellMar>
        <w:left w:w="0" w:type="dxa"/>
        <w:right w:w="0" w:type="dxa"/>
      </w:tblCellMar>
    </w:tblPr>
  </w:style>
  <w:style w:type="table" w:customStyle="1" w:styleId="ad">
    <w:basedOn w:val="TableNormal"/>
    <w:rPr>
      <w:rFonts w:ascii="Cambria" w:eastAsia="Cambria" w:hAnsi="Cambria" w:cs="Cambria"/>
      <w:b/>
      <w:color w:val="FFFFFF"/>
    </w:rPr>
    <w:tblPr>
      <w:tblStyleRowBandSize w:val="1"/>
      <w:tblStyleColBandSize w:val="1"/>
      <w:tblCellMar>
        <w:left w:w="0" w:type="dxa"/>
        <w:right w:w="0" w:type="dxa"/>
      </w:tblCellMar>
    </w:tblPr>
  </w:style>
  <w:style w:type="table" w:customStyle="1" w:styleId="ae">
    <w:basedOn w:val="TableNormal"/>
    <w:rPr>
      <w:rFonts w:ascii="Cambria" w:eastAsia="Cambria" w:hAnsi="Cambria" w:cs="Cambria"/>
      <w:b/>
      <w:color w:val="FFFFFF"/>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oUuLnTZFjd3uYXQ/1lz2C/fSaw==">CgMxLjAyCWguMWZvYjl0ZTIJaC4zem55c2g3MgloLjJldDkycDAyCGgudHlqY3d0MgloLjNkeTZ2a20yCWguMXQzaDVzZjIJaC40ZDM0b2c4MgloLjJzOGV5bzEyCWguMTdkcDh2dTIJaC4zcmRjcmpuMgloLjI2aW4xcmcyCGgubG54Yno5MgloLjM1bmt1bjIyCWguMWtzdjR1djIJaC40NHNpbmlvMgloLjJqeHN4cWgyCGguejMzN3lhMgloLjNqMnFxbTMyCWguNGk3b2pocDgAciExckVURVJURWV3bTJpSEtMUTVNN3dSemlUR3RiSU04N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1861</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Cox</dc:creator>
  <cp:lastModifiedBy>Sian Moulton</cp:lastModifiedBy>
  <cp:revision>3</cp:revision>
  <dcterms:created xsi:type="dcterms:W3CDTF">2025-01-14T13:35:00Z</dcterms:created>
  <dcterms:modified xsi:type="dcterms:W3CDTF">2025-08-01T08:28:00Z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